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DD100" w14:textId="77777777" w:rsidR="009E56F3" w:rsidRPr="00BA24B0" w:rsidRDefault="009E56F3" w:rsidP="009E56F3">
      <w:pPr>
        <w:pStyle w:val="Heading1"/>
        <w:rPr>
          <w:sz w:val="28"/>
        </w:rPr>
      </w:pPr>
      <w:bookmarkStart w:id="0" w:name="_Toc400374221"/>
      <w:bookmarkStart w:id="1" w:name="_Toc400375864"/>
      <w:bookmarkStart w:id="2" w:name="_Toc417473979"/>
      <w:r w:rsidRPr="00BA24B0">
        <w:rPr>
          <w:sz w:val="28"/>
          <w:highlight w:val="lightGray"/>
        </w:rPr>
        <w:t>L2 NVQ Diploma in Controlling Lifting Operations - Slinger/Signaller (Construction)</w:t>
      </w:r>
      <w:bookmarkEnd w:id="0"/>
      <w:bookmarkEnd w:id="1"/>
      <w:bookmarkEnd w:id="2"/>
    </w:p>
    <w:p w14:paraId="7CE7D539" w14:textId="77777777" w:rsidR="009E56F3" w:rsidRDefault="009E56F3" w:rsidP="009E56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506"/>
        <w:gridCol w:w="2506"/>
      </w:tblGrid>
      <w:tr w:rsidR="009E56F3" w14:paraId="3322662B" w14:textId="77777777" w:rsidTr="009014DC">
        <w:tc>
          <w:tcPr>
            <w:tcW w:w="2506" w:type="dxa"/>
          </w:tcPr>
          <w:p w14:paraId="64EBDF05" w14:textId="77777777" w:rsidR="009E56F3" w:rsidRPr="00E53C26" w:rsidRDefault="009E56F3" w:rsidP="009014D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CITB </w:t>
            </w:r>
            <w:proofErr w:type="spellStart"/>
            <w:r>
              <w:rPr>
                <w:b/>
                <w:sz w:val="24"/>
                <w:szCs w:val="24"/>
              </w:rPr>
              <w:t>CSkills</w:t>
            </w:r>
            <w:proofErr w:type="spellEnd"/>
            <w:r>
              <w:rPr>
                <w:b/>
                <w:sz w:val="24"/>
                <w:szCs w:val="24"/>
              </w:rPr>
              <w:t xml:space="preserve"> Course Code</w:t>
            </w:r>
          </w:p>
        </w:tc>
        <w:tc>
          <w:tcPr>
            <w:tcW w:w="2506" w:type="dxa"/>
          </w:tcPr>
          <w:p w14:paraId="47D7B1A3" w14:textId="77777777" w:rsidR="009E56F3" w:rsidRPr="00E53C26" w:rsidRDefault="009E56F3" w:rsidP="009014DC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E53C26">
              <w:rPr>
                <w:b/>
                <w:sz w:val="24"/>
                <w:szCs w:val="24"/>
              </w:rPr>
              <w:t>Cskills</w:t>
            </w:r>
            <w:proofErr w:type="spellEnd"/>
            <w:r w:rsidRPr="00E53C26">
              <w:rPr>
                <w:b/>
                <w:sz w:val="24"/>
                <w:szCs w:val="24"/>
              </w:rPr>
              <w:t xml:space="preserve"> Learning Aim</w:t>
            </w:r>
          </w:p>
        </w:tc>
        <w:tc>
          <w:tcPr>
            <w:tcW w:w="2506" w:type="dxa"/>
          </w:tcPr>
          <w:p w14:paraId="38C6867E" w14:textId="77777777" w:rsidR="009E56F3" w:rsidRDefault="009E56F3" w:rsidP="009014DC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QCF Credits</w:t>
            </w:r>
          </w:p>
        </w:tc>
      </w:tr>
      <w:tr w:rsidR="009E56F3" w:rsidRPr="008D392C" w14:paraId="4124000D" w14:textId="77777777" w:rsidTr="009014DC">
        <w:tc>
          <w:tcPr>
            <w:tcW w:w="2506" w:type="dxa"/>
          </w:tcPr>
          <w:p w14:paraId="49B643A8" w14:textId="77777777" w:rsidR="009E56F3" w:rsidRPr="008D392C" w:rsidRDefault="009E56F3" w:rsidP="009014DC">
            <w:pPr>
              <w:spacing w:before="120" w:after="120"/>
            </w:pPr>
            <w:r w:rsidRPr="008D392C">
              <w:t>QUA801</w:t>
            </w:r>
          </w:p>
        </w:tc>
        <w:tc>
          <w:tcPr>
            <w:tcW w:w="2506" w:type="dxa"/>
          </w:tcPr>
          <w:p w14:paraId="704E5B2C" w14:textId="77777777" w:rsidR="009E56F3" w:rsidRPr="008D392C" w:rsidRDefault="009E56F3" w:rsidP="009014DC">
            <w:pPr>
              <w:spacing w:before="120" w:after="120"/>
            </w:pPr>
            <w:r w:rsidRPr="008D392C">
              <w:t>600/3691/6</w:t>
            </w:r>
          </w:p>
        </w:tc>
        <w:tc>
          <w:tcPr>
            <w:tcW w:w="2506" w:type="dxa"/>
          </w:tcPr>
          <w:p w14:paraId="090C8A58" w14:textId="77777777" w:rsidR="009E56F3" w:rsidRPr="008D392C" w:rsidRDefault="009E56F3" w:rsidP="009014DC">
            <w:pPr>
              <w:spacing w:before="120" w:after="120"/>
            </w:pPr>
            <w:r>
              <w:t>43 / ESF SU4</w:t>
            </w:r>
          </w:p>
        </w:tc>
      </w:tr>
      <w:tr w:rsidR="009E56F3" w14:paraId="06F10C34" w14:textId="77777777" w:rsidTr="009014DC">
        <w:tc>
          <w:tcPr>
            <w:tcW w:w="2506" w:type="dxa"/>
          </w:tcPr>
          <w:p w14:paraId="1D22C166" w14:textId="77777777" w:rsidR="009E56F3" w:rsidRDefault="009E56F3" w:rsidP="009014DC">
            <w:pPr>
              <w:spacing w:before="120" w:after="120"/>
              <w:rPr>
                <w:sz w:val="24"/>
                <w:szCs w:val="24"/>
              </w:rPr>
            </w:pPr>
            <w:r w:rsidRPr="00E53C26">
              <w:rPr>
                <w:b/>
                <w:sz w:val="24"/>
                <w:szCs w:val="24"/>
              </w:rPr>
              <w:t>Registration Start Date</w:t>
            </w:r>
          </w:p>
        </w:tc>
        <w:tc>
          <w:tcPr>
            <w:tcW w:w="2506" w:type="dxa"/>
          </w:tcPr>
          <w:p w14:paraId="59623541" w14:textId="77777777" w:rsidR="009E56F3" w:rsidRDefault="009E56F3" w:rsidP="009014DC">
            <w:pPr>
              <w:spacing w:before="120" w:after="120"/>
              <w:rPr>
                <w:sz w:val="24"/>
                <w:szCs w:val="24"/>
              </w:rPr>
            </w:pPr>
            <w:r w:rsidRPr="00E53C26">
              <w:rPr>
                <w:b/>
                <w:sz w:val="24"/>
                <w:szCs w:val="24"/>
              </w:rPr>
              <w:t>Registration Expiry Date:</w:t>
            </w:r>
          </w:p>
        </w:tc>
        <w:tc>
          <w:tcPr>
            <w:tcW w:w="2506" w:type="dxa"/>
          </w:tcPr>
          <w:p w14:paraId="27A1D83B" w14:textId="77777777" w:rsidR="009E56F3" w:rsidRPr="00E53C26" w:rsidRDefault="009E56F3" w:rsidP="009014DC">
            <w:pPr>
              <w:spacing w:before="120" w:after="120"/>
              <w:rPr>
                <w:b/>
                <w:sz w:val="24"/>
                <w:szCs w:val="24"/>
              </w:rPr>
            </w:pPr>
            <w:r w:rsidRPr="00E53C26">
              <w:rPr>
                <w:b/>
                <w:sz w:val="24"/>
                <w:szCs w:val="24"/>
              </w:rPr>
              <w:t>Programme Weighting</w:t>
            </w:r>
          </w:p>
        </w:tc>
      </w:tr>
      <w:tr w:rsidR="009E56F3" w14:paraId="22CBBFAE" w14:textId="77777777" w:rsidTr="009014DC">
        <w:tc>
          <w:tcPr>
            <w:tcW w:w="2506" w:type="dxa"/>
          </w:tcPr>
          <w:p w14:paraId="686DE647" w14:textId="77777777" w:rsidR="009E56F3" w:rsidRPr="008D392C" w:rsidRDefault="009E56F3" w:rsidP="009014DC">
            <w:pPr>
              <w:spacing w:before="120" w:after="120"/>
            </w:pPr>
            <w:r w:rsidRPr="008D392C">
              <w:t xml:space="preserve">18/07/2013                                                                                                                      </w:t>
            </w:r>
          </w:p>
        </w:tc>
        <w:tc>
          <w:tcPr>
            <w:tcW w:w="2506" w:type="dxa"/>
          </w:tcPr>
          <w:p w14:paraId="5B282542" w14:textId="77777777" w:rsidR="009E56F3" w:rsidRPr="008D392C" w:rsidRDefault="009E56F3" w:rsidP="009014DC">
            <w:pPr>
              <w:spacing w:before="120" w:after="120"/>
            </w:pPr>
            <w:r w:rsidRPr="008D392C">
              <w:t>30/04/2018</w:t>
            </w:r>
          </w:p>
        </w:tc>
        <w:tc>
          <w:tcPr>
            <w:tcW w:w="2506" w:type="dxa"/>
          </w:tcPr>
          <w:p w14:paraId="2E2A2B4C" w14:textId="77777777" w:rsidR="009E56F3" w:rsidRPr="008D392C" w:rsidRDefault="009E56F3" w:rsidP="009014DC">
            <w:pPr>
              <w:spacing w:before="120" w:after="120"/>
            </w:pPr>
            <w:r>
              <w:t>C</w:t>
            </w:r>
          </w:p>
        </w:tc>
      </w:tr>
    </w:tbl>
    <w:p w14:paraId="7D852B1B" w14:textId="77777777" w:rsidR="009E56F3" w:rsidRPr="008D392C" w:rsidRDefault="009E56F3" w:rsidP="009E56F3">
      <w:pPr>
        <w:pStyle w:val="Heading2"/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</w:pPr>
      <w:bookmarkStart w:id="3" w:name="_Toc400374222"/>
      <w:bookmarkStart w:id="4" w:name="_Toc400375046"/>
      <w:bookmarkStart w:id="5" w:name="_Toc400375865"/>
      <w:r w:rsidRPr="008D392C"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  <w:t>Qualification Overview</w:t>
      </w:r>
      <w:bookmarkEnd w:id="3"/>
      <w:bookmarkEnd w:id="4"/>
      <w:bookmarkEnd w:id="5"/>
    </w:p>
    <w:p w14:paraId="78D3B426" w14:textId="77777777" w:rsidR="009E56F3" w:rsidRPr="008D392C" w:rsidRDefault="009E56F3" w:rsidP="009E56F3">
      <w:pPr>
        <w:pStyle w:val="Heading2"/>
        <w:rPr>
          <w:rFonts w:ascii="Calibri" w:eastAsiaTheme="minorHAnsi" w:hAnsi="Calibri" w:cs="Calibri"/>
          <w:bCs w:val="0"/>
          <w:sz w:val="22"/>
          <w:szCs w:val="22"/>
          <w:lang w:val="en"/>
        </w:rPr>
      </w:pPr>
      <w:bookmarkStart w:id="6" w:name="_Toc400374223"/>
      <w:bookmarkStart w:id="7" w:name="_Toc400375047"/>
      <w:bookmarkStart w:id="8" w:name="_Toc400375866"/>
      <w:r w:rsidRPr="008D392C">
        <w:rPr>
          <w:rFonts w:ascii="Calibri" w:eastAsiaTheme="minorHAnsi" w:hAnsi="Calibri" w:cs="Calibri"/>
          <w:bCs w:val="0"/>
          <w:sz w:val="22"/>
          <w:szCs w:val="22"/>
          <w:lang w:val="en"/>
        </w:rPr>
        <w:t xml:space="preserve">The aim of this qualification is to </w:t>
      </w:r>
      <w:proofErr w:type="spellStart"/>
      <w:r w:rsidRPr="008D392C">
        <w:rPr>
          <w:rFonts w:ascii="Calibri" w:eastAsiaTheme="minorHAnsi" w:hAnsi="Calibri" w:cs="Calibri"/>
          <w:bCs w:val="0"/>
          <w:sz w:val="22"/>
          <w:szCs w:val="22"/>
          <w:lang w:val="en"/>
        </w:rPr>
        <w:t>recognise</w:t>
      </w:r>
      <w:proofErr w:type="spellEnd"/>
      <w:r w:rsidRPr="008D392C">
        <w:rPr>
          <w:rFonts w:ascii="Calibri" w:eastAsiaTheme="minorHAnsi" w:hAnsi="Calibri" w:cs="Calibri"/>
          <w:bCs w:val="0"/>
          <w:sz w:val="22"/>
          <w:szCs w:val="22"/>
          <w:lang w:val="en"/>
        </w:rPr>
        <w:t xml:space="preserve"> the knowledge, skills and competence demonstrated by an individual in the workplace. This Level 2 NVQ Diploma in Controlling Lifting Operations - Slinger/</w:t>
      </w:r>
      <w:proofErr w:type="spellStart"/>
      <w:r w:rsidRPr="008D392C">
        <w:rPr>
          <w:rFonts w:ascii="Calibri" w:eastAsiaTheme="minorHAnsi" w:hAnsi="Calibri" w:cs="Calibri"/>
          <w:bCs w:val="0"/>
          <w:sz w:val="22"/>
          <w:szCs w:val="22"/>
          <w:lang w:val="en"/>
        </w:rPr>
        <w:t>Signaller</w:t>
      </w:r>
      <w:proofErr w:type="spellEnd"/>
      <w:r w:rsidRPr="008D392C">
        <w:rPr>
          <w:rFonts w:ascii="Calibri" w:eastAsiaTheme="minorHAnsi" w:hAnsi="Calibri" w:cs="Calibri"/>
          <w:bCs w:val="0"/>
          <w:sz w:val="22"/>
          <w:szCs w:val="22"/>
          <w:lang w:val="en"/>
        </w:rPr>
        <w:t xml:space="preserve"> provides the opportunity for individuals who </w:t>
      </w:r>
      <w:proofErr w:type="spellStart"/>
      <w:r w:rsidRPr="008D392C">
        <w:rPr>
          <w:rFonts w:ascii="Calibri" w:eastAsiaTheme="minorHAnsi" w:hAnsi="Calibri" w:cs="Calibri"/>
          <w:bCs w:val="0"/>
          <w:sz w:val="22"/>
          <w:szCs w:val="22"/>
          <w:lang w:val="en"/>
        </w:rPr>
        <w:t>specialise</w:t>
      </w:r>
      <w:proofErr w:type="spellEnd"/>
      <w:r w:rsidRPr="008D392C">
        <w:rPr>
          <w:rFonts w:ascii="Calibri" w:eastAsiaTheme="minorHAnsi" w:hAnsi="Calibri" w:cs="Calibri"/>
          <w:bCs w:val="0"/>
          <w:sz w:val="22"/>
          <w:szCs w:val="22"/>
          <w:lang w:val="en"/>
        </w:rPr>
        <w:t xml:space="preserve"> in slinging and </w:t>
      </w:r>
      <w:proofErr w:type="spellStart"/>
      <w:r w:rsidRPr="008D392C">
        <w:rPr>
          <w:rFonts w:ascii="Calibri" w:eastAsiaTheme="minorHAnsi" w:hAnsi="Calibri" w:cs="Calibri"/>
          <w:bCs w:val="0"/>
          <w:sz w:val="22"/>
          <w:szCs w:val="22"/>
          <w:lang w:val="en"/>
        </w:rPr>
        <w:t>signalling</w:t>
      </w:r>
      <w:proofErr w:type="spellEnd"/>
      <w:r w:rsidRPr="008D392C">
        <w:rPr>
          <w:rFonts w:ascii="Calibri" w:eastAsiaTheme="minorHAnsi" w:hAnsi="Calibri" w:cs="Calibri"/>
          <w:bCs w:val="0"/>
          <w:sz w:val="22"/>
          <w:szCs w:val="22"/>
          <w:lang w:val="en"/>
        </w:rPr>
        <w:t xml:space="preserve"> activities to carry out and control lifting operations to demonstrate their competence. The units in this qualification are derived from National Occupational Standards.</w:t>
      </w:r>
      <w:bookmarkEnd w:id="6"/>
      <w:bookmarkEnd w:id="7"/>
      <w:bookmarkEnd w:id="8"/>
    </w:p>
    <w:p w14:paraId="6CB3140E" w14:textId="77777777" w:rsidR="009E56F3" w:rsidRPr="008D392C" w:rsidRDefault="009E56F3" w:rsidP="009E56F3">
      <w:pPr>
        <w:pStyle w:val="Heading2"/>
        <w:rPr>
          <w:rFonts w:ascii="Calibri" w:eastAsiaTheme="minorHAnsi" w:hAnsi="Calibri" w:cs="Calibri"/>
          <w:bCs w:val="0"/>
          <w:sz w:val="22"/>
          <w:szCs w:val="22"/>
          <w:lang w:val="en"/>
        </w:rPr>
      </w:pPr>
      <w:bookmarkStart w:id="9" w:name="_Toc400374224"/>
      <w:bookmarkStart w:id="10" w:name="_Toc400375048"/>
      <w:bookmarkStart w:id="11" w:name="_Toc400375867"/>
      <w:r w:rsidRPr="008D392C">
        <w:rPr>
          <w:rFonts w:ascii="Calibri" w:eastAsiaTheme="minorHAnsi" w:hAnsi="Calibri" w:cs="Calibri"/>
          <w:bCs w:val="0"/>
          <w:sz w:val="22"/>
          <w:szCs w:val="22"/>
          <w:lang w:val="en"/>
        </w:rPr>
        <w:t>The Rule of Combination (</w:t>
      </w:r>
      <w:proofErr w:type="spellStart"/>
      <w:r w:rsidRPr="008D392C">
        <w:rPr>
          <w:rFonts w:ascii="Calibri" w:eastAsiaTheme="minorHAnsi" w:hAnsi="Calibri" w:cs="Calibri"/>
          <w:bCs w:val="0"/>
          <w:sz w:val="22"/>
          <w:szCs w:val="22"/>
          <w:lang w:val="en"/>
        </w:rPr>
        <w:t>RoC</w:t>
      </w:r>
      <w:proofErr w:type="spellEnd"/>
      <w:r w:rsidRPr="008D392C">
        <w:rPr>
          <w:rFonts w:ascii="Calibri" w:eastAsiaTheme="minorHAnsi" w:hAnsi="Calibri" w:cs="Calibri"/>
          <w:bCs w:val="0"/>
          <w:sz w:val="22"/>
          <w:szCs w:val="22"/>
          <w:lang w:val="en"/>
        </w:rPr>
        <w:t>) below specifies the combination of units that need to be achieved for the individual to be awarded the qualification.</w:t>
      </w:r>
      <w:bookmarkEnd w:id="9"/>
      <w:bookmarkEnd w:id="10"/>
      <w:bookmarkEnd w:id="11"/>
    </w:p>
    <w:p w14:paraId="2D155FD6" w14:textId="77777777" w:rsidR="009E56F3" w:rsidRPr="008D392C" w:rsidRDefault="009E56F3" w:rsidP="009E56F3">
      <w:pPr>
        <w:pStyle w:val="Heading2"/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</w:pPr>
      <w:bookmarkStart w:id="12" w:name="_Toc400374225"/>
      <w:bookmarkStart w:id="13" w:name="_Toc400375049"/>
      <w:bookmarkStart w:id="14" w:name="_Toc400375868"/>
      <w:r w:rsidRPr="008D392C"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  <w:t>Minimum Credit Value: 43</w:t>
      </w:r>
      <w:bookmarkEnd w:id="12"/>
      <w:bookmarkEnd w:id="13"/>
      <w:bookmarkEnd w:id="14"/>
    </w:p>
    <w:p w14:paraId="280A6D3C" w14:textId="77777777" w:rsidR="009E56F3" w:rsidRPr="008D392C" w:rsidRDefault="009E56F3" w:rsidP="009E56F3">
      <w:pPr>
        <w:pStyle w:val="Heading2"/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</w:pPr>
      <w:bookmarkStart w:id="15" w:name="_Toc400374226"/>
      <w:bookmarkStart w:id="16" w:name="_Toc400375050"/>
      <w:bookmarkStart w:id="17" w:name="_Toc400375869"/>
      <w:r w:rsidRPr="008D392C"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  <w:t>Minimum Guided Learning Hours (GLH) for this qualification: 144</w:t>
      </w:r>
      <w:bookmarkEnd w:id="15"/>
      <w:bookmarkEnd w:id="16"/>
      <w:bookmarkEnd w:id="17"/>
    </w:p>
    <w:p w14:paraId="330D5E21" w14:textId="77777777" w:rsidR="009E56F3" w:rsidRPr="008D392C" w:rsidRDefault="009E56F3" w:rsidP="009E56F3">
      <w:pPr>
        <w:pStyle w:val="Heading2"/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</w:pPr>
      <w:bookmarkStart w:id="18" w:name="_Toc400374227"/>
      <w:bookmarkStart w:id="19" w:name="_Toc400375051"/>
      <w:bookmarkStart w:id="20" w:name="_Toc400375870"/>
      <w:r w:rsidRPr="008D392C">
        <w:rPr>
          <w:rFonts w:ascii="Calibri" w:eastAsiaTheme="minorHAnsi" w:hAnsi="Calibri" w:cs="Calibri"/>
          <w:bCs w:val="0"/>
          <w:sz w:val="22"/>
          <w:szCs w:val="22"/>
          <w:lang w:val="en"/>
        </w:rPr>
        <w:t>To achieve this qualification a minimum of </w:t>
      </w:r>
      <w:r w:rsidRPr="008D392C"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  <w:t>43 credits</w:t>
      </w:r>
      <w:r w:rsidRPr="008D392C">
        <w:rPr>
          <w:rFonts w:ascii="Calibri" w:eastAsiaTheme="minorHAnsi" w:hAnsi="Calibri" w:cs="Calibri"/>
          <w:bCs w:val="0"/>
          <w:sz w:val="22"/>
          <w:szCs w:val="22"/>
          <w:lang w:val="en"/>
        </w:rPr>
        <w:t> need to be attained. This comprises the </w:t>
      </w:r>
      <w:r w:rsidRPr="008D392C"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  <w:t>4 mandatory units.</w:t>
      </w:r>
      <w:bookmarkEnd w:id="18"/>
      <w:bookmarkEnd w:id="19"/>
      <w:bookmarkEnd w:id="20"/>
    </w:p>
    <w:p w14:paraId="22E0EED5" w14:textId="77777777" w:rsidR="009E56F3" w:rsidRPr="008D392C" w:rsidRDefault="009E56F3" w:rsidP="009E56F3">
      <w:pPr>
        <w:pStyle w:val="Heading3"/>
        <w:spacing w:before="240" w:after="120"/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</w:pPr>
      <w:bookmarkStart w:id="21" w:name="_Toc400374228"/>
      <w:bookmarkStart w:id="22" w:name="_Toc400375052"/>
      <w:bookmarkStart w:id="23" w:name="_Toc400375871"/>
      <w:r w:rsidRPr="008D392C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>Mandatory Units</w:t>
      </w:r>
      <w:r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 xml:space="preserve"> - </w:t>
      </w:r>
      <w:r w:rsidRPr="008D392C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>(credit value: 43)</w:t>
      </w:r>
      <w:r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 xml:space="preserve"> - </w:t>
      </w:r>
      <w:r w:rsidRPr="008D392C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>Units required: 4</w:t>
      </w:r>
      <w:bookmarkEnd w:id="21"/>
      <w:bookmarkEnd w:id="22"/>
      <w:bookmarkEnd w:id="23"/>
      <w:r w:rsidRPr="008D392C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944"/>
        <w:gridCol w:w="792"/>
        <w:gridCol w:w="523"/>
        <w:gridCol w:w="623"/>
        <w:gridCol w:w="1271"/>
      </w:tblGrid>
      <w:tr w:rsidR="009E56F3" w:rsidRPr="008D392C" w14:paraId="32D7D4C4" w14:textId="77777777" w:rsidTr="009014DC">
        <w:tc>
          <w:tcPr>
            <w:tcW w:w="7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3728DD" w14:textId="77777777" w:rsidR="009E56F3" w:rsidRPr="008D392C" w:rsidRDefault="009E56F3" w:rsidP="0090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D392C">
              <w:rPr>
                <w:rFonts w:asciiTheme="minorHAnsi" w:hAnsiTheme="minorHAnsi" w:cs="Arial"/>
                <w:b/>
                <w:bCs/>
              </w:rPr>
              <w:t>Unit Code</w:t>
            </w:r>
          </w:p>
        </w:tc>
        <w:tc>
          <w:tcPr>
            <w:tcW w:w="44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2764B4" w14:textId="77777777" w:rsidR="009E56F3" w:rsidRPr="008D392C" w:rsidRDefault="009E56F3" w:rsidP="0090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D392C">
              <w:rPr>
                <w:rFonts w:asciiTheme="minorHAnsi" w:hAnsiTheme="minorHAnsi" w:cs="Arial"/>
                <w:b/>
                <w:bCs/>
              </w:rPr>
              <w:t>Title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4F0CA0" w14:textId="77777777" w:rsidR="009E56F3" w:rsidRPr="008D392C" w:rsidRDefault="009E56F3" w:rsidP="0090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D392C">
              <w:rPr>
                <w:rFonts w:asciiTheme="minorHAnsi" w:hAnsiTheme="minorHAnsi" w:cs="Arial"/>
                <w:b/>
                <w:bCs/>
              </w:rPr>
              <w:t>Credits</w:t>
            </w:r>
          </w:p>
        </w:tc>
        <w:tc>
          <w:tcPr>
            <w:tcW w:w="4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A46205" w14:textId="77777777" w:rsidR="009E56F3" w:rsidRPr="008D392C" w:rsidRDefault="009E56F3" w:rsidP="0090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D392C">
              <w:rPr>
                <w:rFonts w:asciiTheme="minorHAnsi" w:hAnsiTheme="minorHAnsi" w:cs="Arial"/>
                <w:b/>
                <w:bCs/>
              </w:rPr>
              <w:t>GLH</w:t>
            </w:r>
          </w:p>
        </w:tc>
        <w:tc>
          <w:tcPr>
            <w:tcW w:w="5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511217" w14:textId="77777777" w:rsidR="009E56F3" w:rsidRPr="008D392C" w:rsidRDefault="009E56F3" w:rsidP="0090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D392C">
              <w:rPr>
                <w:rFonts w:asciiTheme="minorHAnsi" w:hAnsiTheme="minorHAnsi" w:cs="Arial"/>
                <w:b/>
                <w:bCs/>
              </w:rPr>
              <w:t>Level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2FBFA4" w14:textId="77777777" w:rsidR="009E56F3" w:rsidRPr="008D392C" w:rsidRDefault="009E56F3" w:rsidP="0090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D392C">
              <w:rPr>
                <w:rFonts w:asciiTheme="minorHAnsi" w:hAnsiTheme="minorHAnsi" w:cs="Arial"/>
                <w:b/>
                <w:bCs/>
              </w:rPr>
              <w:t>Unit reference number</w:t>
            </w:r>
          </w:p>
        </w:tc>
      </w:tr>
      <w:tr w:rsidR="009E56F3" w:rsidRPr="008D392C" w14:paraId="6748E29D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0A230B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QCF572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EF2D8C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4" w:history="1">
              <w:r w:rsidRPr="008D392C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Checking and Preparing Lifting Accessories to Carry Out Lifting Operations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B31172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B14E75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1BA4B7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8ABB86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F/601/1531</w:t>
            </w:r>
          </w:p>
        </w:tc>
      </w:tr>
      <w:tr w:rsidR="009E56F3" w:rsidRPr="008D392C" w14:paraId="55940A67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2A8031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QCF573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84CBDD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5" w:history="1">
              <w:r w:rsidRPr="008D392C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Attaching and Preparing Suspended Loads for Movement Using Lifting Accessories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8DC50F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CDC03D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54E4A9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D51504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T/601/1543</w:t>
            </w:r>
          </w:p>
        </w:tc>
      </w:tr>
      <w:tr w:rsidR="009E56F3" w:rsidRPr="008D392C" w14:paraId="05C3D2B6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5FE3FE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QCF574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BA4132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6" w:history="1">
              <w:r w:rsidRPr="008D392C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Guiding, Positioning and Placing Suspended Loads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63DE4D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540038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9952C9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09DF2F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J/601/1546</w:t>
            </w:r>
          </w:p>
        </w:tc>
      </w:tr>
      <w:tr w:rsidR="009E56F3" w:rsidRPr="008D392C" w14:paraId="3C3F405D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775247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QCF641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9C568B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7" w:history="1">
              <w:r w:rsidRPr="008D392C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Conforming to General Health, Safety and Welfare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B0E9C9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05B550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098A1E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046263" w14:textId="77777777" w:rsidR="009E56F3" w:rsidRPr="008D392C" w:rsidRDefault="009E56F3" w:rsidP="009014DC">
            <w:pPr>
              <w:rPr>
                <w:rFonts w:asciiTheme="minorHAnsi" w:hAnsiTheme="minorHAnsi" w:cs="Arial"/>
                <w:color w:val="555555"/>
              </w:rPr>
            </w:pPr>
            <w:r w:rsidRPr="008D392C">
              <w:rPr>
                <w:rFonts w:asciiTheme="minorHAnsi" w:hAnsiTheme="minorHAnsi" w:cs="Arial"/>
                <w:color w:val="555555"/>
              </w:rPr>
              <w:t>A/503/1170</w:t>
            </w:r>
          </w:p>
        </w:tc>
      </w:tr>
    </w:tbl>
    <w:p w14:paraId="619505CD" w14:textId="77777777" w:rsidR="009E56F3" w:rsidRPr="008D392C" w:rsidRDefault="009E56F3" w:rsidP="009E56F3">
      <w:pPr>
        <w:pStyle w:val="Heading1"/>
        <w:rPr>
          <w:sz w:val="22"/>
          <w:szCs w:val="22"/>
          <w:highlight w:val="lightGray"/>
        </w:rPr>
      </w:pPr>
    </w:p>
    <w:p w14:paraId="2D0C7765" w14:textId="77777777" w:rsidR="009E56F3" w:rsidRDefault="009E56F3" w:rsidP="009E56F3">
      <w:pPr>
        <w:rPr>
          <w:highlight w:val="lightGray"/>
        </w:rPr>
      </w:pPr>
    </w:p>
    <w:p w14:paraId="524D2313" w14:textId="77777777" w:rsidR="009A0D44" w:rsidRDefault="009E56F3">
      <w:bookmarkStart w:id="24" w:name="_GoBack"/>
      <w:bookmarkEnd w:id="24"/>
    </w:p>
    <w:sectPr w:rsidR="009A0D44" w:rsidSect="00FB77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F3"/>
    <w:rsid w:val="00997017"/>
    <w:rsid w:val="009E56F3"/>
    <w:rsid w:val="00F447C9"/>
    <w:rsid w:val="00FB779E"/>
    <w:rsid w:val="00FC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BB2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F3"/>
    <w:rPr>
      <w:rFonts w:ascii="Calibri" w:hAnsi="Calibri" w:cs="Calibri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6F3"/>
    <w:pPr>
      <w:keepNext/>
      <w:keepLines/>
      <w:outlineLvl w:val="0"/>
    </w:pPr>
    <w:rPr>
      <w:rFonts w:asciiTheme="minorHAnsi" w:eastAsiaTheme="majorEastAsia" w:hAnsiTheme="minorHAnsi" w:cstheme="minorHAnsi"/>
      <w:b/>
      <w:bCs/>
      <w:sz w:val="30"/>
      <w:szCs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6F3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6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6F3"/>
    <w:rPr>
      <w:rFonts w:eastAsiaTheme="majorEastAsia" w:cstheme="minorHAnsi"/>
      <w:b/>
      <w:bCs/>
      <w:sz w:val="30"/>
      <w:szCs w:val="3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E56F3"/>
    <w:rPr>
      <w:rFonts w:eastAsiaTheme="majorEastAsia" w:cstheme="minorHAnsi"/>
      <w:bCs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E56F3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styleId="Hyperlink">
    <w:name w:val="Hyperlink"/>
    <w:basedOn w:val="DefaultParagraphFont"/>
    <w:uiPriority w:val="99"/>
    <w:unhideWhenUsed/>
    <w:rsid w:val="009E56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56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skills.org/awards/qualifications_and_courses/construction/ViewUnit.aspx?s=2&amp;q=QUA801&amp;u=QCF572&amp;source=vq" TargetMode="External"/><Relationship Id="rId5" Type="http://schemas.openxmlformats.org/officeDocument/2006/relationships/hyperlink" Target="http://www.cskills.org/awards/qualifications_and_courses/construction/ViewUnit.aspx?s=2&amp;q=QUA801&amp;u=QCF573&amp;source=vq" TargetMode="External"/><Relationship Id="rId6" Type="http://schemas.openxmlformats.org/officeDocument/2006/relationships/hyperlink" Target="http://www.cskills.org/awards/qualifications_and_courses/construction/ViewUnit.aspx?s=2&amp;q=QUA801&amp;u=QCF574&amp;source=vq" TargetMode="External"/><Relationship Id="rId7" Type="http://schemas.openxmlformats.org/officeDocument/2006/relationships/hyperlink" Target="http://www.cskills.org/awards/qualifications_and_courses/construction/ViewUnit.aspx?s=2&amp;q=QUA801&amp;u=QCF641&amp;source=vq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Macintosh Word</Application>
  <DocSecurity>0</DocSecurity>
  <Lines>16</Lines>
  <Paragraphs>4</Paragraphs>
  <ScaleCrop>false</ScaleCrop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Anderson</dc:creator>
  <cp:keywords/>
  <dc:description/>
  <cp:lastModifiedBy>Stuart Anderson</cp:lastModifiedBy>
  <cp:revision>1</cp:revision>
  <dcterms:created xsi:type="dcterms:W3CDTF">2016-05-27T11:17:00Z</dcterms:created>
  <dcterms:modified xsi:type="dcterms:W3CDTF">2016-05-27T11:18:00Z</dcterms:modified>
</cp:coreProperties>
</file>